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B9" w:rsidRPr="00CA486F" w:rsidRDefault="00583A1A" w:rsidP="00D61930">
      <w:pPr>
        <w:jc w:val="both"/>
        <w:rPr>
          <w:rFonts w:ascii="Times New Roman" w:hAnsi="Times New Roman" w:cs="Times New Roman"/>
          <w:sz w:val="24"/>
          <w:szCs w:val="24"/>
        </w:rPr>
      </w:pPr>
      <w:r>
        <w:rPr>
          <w:rFonts w:ascii="Times New Roman" w:hAnsi="Times New Roman" w:cs="Times New Roman"/>
          <w:sz w:val="24"/>
          <w:szCs w:val="24"/>
        </w:rPr>
        <w:t>[</w:t>
      </w:r>
      <w:r w:rsidRPr="00583A1A">
        <w:rPr>
          <w:rFonts w:ascii="Times New Roman" w:hAnsi="Times New Roman" w:cs="Times New Roman"/>
          <w:b/>
          <w:sz w:val="24"/>
          <w:szCs w:val="24"/>
          <w:highlight w:val="yellow"/>
        </w:rPr>
        <w:t>DATE</w:t>
      </w:r>
      <w:r>
        <w:rPr>
          <w:rFonts w:ascii="Times New Roman" w:hAnsi="Times New Roman" w:cs="Times New Roman"/>
          <w:sz w:val="24"/>
          <w:szCs w:val="24"/>
        </w:rPr>
        <w:t>]</w:t>
      </w:r>
    </w:p>
    <w:p w:rsidR="00FC7CEC" w:rsidRPr="00FC0653" w:rsidRDefault="00A136B9" w:rsidP="00D61930">
      <w:pPr>
        <w:spacing w:after="0"/>
        <w:jc w:val="both"/>
        <w:rPr>
          <w:rFonts w:ascii="Times New Roman" w:hAnsi="Times New Roman" w:cs="Times New Roman"/>
          <w:color w:val="000000" w:themeColor="text1"/>
          <w:sz w:val="24"/>
        </w:rPr>
      </w:pPr>
      <w:r w:rsidRPr="00FC0653">
        <w:rPr>
          <w:rFonts w:ascii="Times New Roman" w:hAnsi="Times New Roman" w:cs="Times New Roman"/>
          <w:color w:val="000000" w:themeColor="text1"/>
          <w:sz w:val="24"/>
        </w:rPr>
        <w:t xml:space="preserve">The Honorable </w:t>
      </w:r>
      <w:r w:rsidR="00583A1A" w:rsidRPr="00583A1A">
        <w:rPr>
          <w:rFonts w:ascii="Times New Roman" w:hAnsi="Times New Roman" w:cs="Times New Roman"/>
          <w:color w:val="000000" w:themeColor="text1"/>
          <w:sz w:val="24"/>
          <w:highlight w:val="yellow"/>
        </w:rPr>
        <w:t>_____________</w:t>
      </w:r>
    </w:p>
    <w:p w:rsidR="00583A1A" w:rsidRPr="00583A1A" w:rsidRDefault="00583A1A" w:rsidP="00D61930">
      <w:pPr>
        <w:spacing w:after="0"/>
        <w:jc w:val="both"/>
        <w:rPr>
          <w:rFonts w:ascii="Times New Roman" w:hAnsi="Times New Roman" w:cs="Times New Roman"/>
          <w:b/>
          <w:color w:val="000000" w:themeColor="text1"/>
          <w:sz w:val="24"/>
        </w:rPr>
      </w:pPr>
      <w:r w:rsidRPr="00583A1A">
        <w:rPr>
          <w:rFonts w:ascii="Times New Roman" w:hAnsi="Times New Roman" w:cs="Times New Roman"/>
          <w:b/>
          <w:color w:val="000000" w:themeColor="text1"/>
          <w:sz w:val="24"/>
        </w:rPr>
        <w:t>[</w:t>
      </w:r>
      <w:r w:rsidRPr="00583A1A">
        <w:rPr>
          <w:rFonts w:ascii="Times New Roman" w:hAnsi="Times New Roman" w:cs="Times New Roman"/>
          <w:b/>
          <w:color w:val="000000" w:themeColor="text1"/>
          <w:sz w:val="24"/>
          <w:highlight w:val="yellow"/>
        </w:rPr>
        <w:t>OFFICE LOCATION OF SENATOR OR HOUSE MEMBER</w:t>
      </w:r>
      <w:r w:rsidRPr="00583A1A">
        <w:rPr>
          <w:rFonts w:ascii="Times New Roman" w:hAnsi="Times New Roman" w:cs="Times New Roman"/>
          <w:b/>
          <w:color w:val="000000" w:themeColor="text1"/>
          <w:sz w:val="24"/>
        </w:rPr>
        <w:t>]</w:t>
      </w:r>
    </w:p>
    <w:p w:rsidR="00FC7CEC" w:rsidRPr="00B24FAB" w:rsidRDefault="00FC0653" w:rsidP="00D61930">
      <w:pPr>
        <w:spacing w:after="0"/>
        <w:jc w:val="both"/>
        <w:rPr>
          <w:rFonts w:ascii="Times New Roman" w:hAnsi="Times New Roman" w:cs="Times New Roman"/>
          <w:color w:val="000000" w:themeColor="text1"/>
          <w:sz w:val="24"/>
        </w:rPr>
      </w:pPr>
      <w:r w:rsidRPr="00FC0653">
        <w:rPr>
          <w:rFonts w:ascii="Times New Roman" w:hAnsi="Times New Roman" w:cs="Times New Roman"/>
          <w:color w:val="000000" w:themeColor="text1"/>
          <w:sz w:val="24"/>
        </w:rPr>
        <w:t>Washington, DC 20515</w:t>
      </w:r>
    </w:p>
    <w:p w:rsidR="004B2CE1" w:rsidRDefault="004B2CE1" w:rsidP="00D61930">
      <w:pPr>
        <w:jc w:val="both"/>
        <w:rPr>
          <w:rFonts w:ascii="Arial" w:hAnsi="Arial" w:cs="Arial"/>
          <w:color w:val="666666"/>
          <w:sz w:val="20"/>
          <w:szCs w:val="20"/>
          <w:shd w:val="clear" w:color="auto" w:fill="FFFFFF"/>
        </w:rPr>
      </w:pPr>
    </w:p>
    <w:p w:rsidR="00583A1A" w:rsidRDefault="00287075" w:rsidP="00D61930">
      <w:pPr>
        <w:jc w:val="both"/>
        <w:rPr>
          <w:rFonts w:ascii="Times New Roman" w:hAnsi="Times New Roman" w:cs="Times New Roman"/>
          <w:b/>
          <w:sz w:val="24"/>
          <w:szCs w:val="24"/>
        </w:rPr>
      </w:pPr>
      <w:r w:rsidRPr="004B2CE1">
        <w:rPr>
          <w:rFonts w:ascii="Times New Roman" w:hAnsi="Times New Roman" w:cs="Times New Roman"/>
          <w:b/>
          <w:sz w:val="24"/>
          <w:szCs w:val="24"/>
        </w:rPr>
        <w:t xml:space="preserve">RE: </w:t>
      </w:r>
      <w:r w:rsidR="00583A1A">
        <w:rPr>
          <w:rFonts w:ascii="Times New Roman" w:hAnsi="Times New Roman" w:cs="Times New Roman"/>
          <w:b/>
          <w:sz w:val="24"/>
          <w:szCs w:val="24"/>
        </w:rPr>
        <w:t xml:space="preserve">Funding for Hepatitis C (HCV) Elimination in Indian Country  </w:t>
      </w:r>
    </w:p>
    <w:p w:rsidR="001E5412" w:rsidRPr="00A136B9" w:rsidRDefault="001E5412" w:rsidP="00D61930">
      <w:pPr>
        <w:jc w:val="both"/>
        <w:rPr>
          <w:rFonts w:ascii="Times New Roman" w:hAnsi="Times New Roman" w:cs="Times New Roman"/>
          <w:sz w:val="24"/>
          <w:szCs w:val="24"/>
        </w:rPr>
      </w:pPr>
      <w:r w:rsidRPr="005F1D88">
        <w:rPr>
          <w:rFonts w:ascii="Times New Roman" w:hAnsi="Times New Roman" w:cs="Times New Roman"/>
          <w:color w:val="000000" w:themeColor="text1"/>
          <w:sz w:val="24"/>
        </w:rPr>
        <w:t>Dear</w:t>
      </w:r>
      <w:r>
        <w:rPr>
          <w:rFonts w:ascii="Times New Roman" w:hAnsi="Times New Roman" w:cs="Times New Roman"/>
          <w:color w:val="000000" w:themeColor="text1"/>
          <w:sz w:val="24"/>
        </w:rPr>
        <w:t xml:space="preserve"> </w:t>
      </w:r>
      <w:r w:rsidR="00583A1A" w:rsidRPr="00583A1A">
        <w:rPr>
          <w:rFonts w:ascii="Times New Roman" w:hAnsi="Times New Roman" w:cs="Times New Roman"/>
          <w:color w:val="000000" w:themeColor="text1"/>
          <w:sz w:val="24"/>
          <w:highlight w:val="yellow"/>
        </w:rPr>
        <w:t>_____________</w:t>
      </w:r>
      <w:r w:rsidR="00AA7DD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rsidR="001E5412" w:rsidRDefault="001E5412" w:rsidP="00D61930">
      <w:pPr>
        <w:spacing w:after="0" w:line="240" w:lineRule="auto"/>
        <w:jc w:val="both"/>
        <w:rPr>
          <w:rFonts w:ascii="Times New Roman" w:hAnsi="Times New Roman"/>
          <w:sz w:val="24"/>
        </w:rPr>
      </w:pPr>
      <w:r>
        <w:rPr>
          <w:rFonts w:ascii="Times New Roman" w:hAnsi="Times New Roman"/>
          <w:sz w:val="24"/>
        </w:rPr>
        <w:t>On behalf of the [</w:t>
      </w:r>
      <w:r w:rsidRPr="00420371">
        <w:rPr>
          <w:rFonts w:ascii="Times New Roman" w:hAnsi="Times New Roman"/>
          <w:b/>
          <w:sz w:val="24"/>
          <w:highlight w:val="yellow"/>
        </w:rPr>
        <w:t>INSERT NAME OF TRIBE OR ORGANIZATION]</w:t>
      </w:r>
      <w:r>
        <w:rPr>
          <w:rFonts w:ascii="Times New Roman" w:hAnsi="Times New Roman"/>
          <w:sz w:val="24"/>
        </w:rPr>
        <w:t xml:space="preserve">, and someone who knows first-hand the tremendous burden </w:t>
      </w:r>
      <w:r w:rsidR="00583A1A">
        <w:rPr>
          <w:rFonts w:ascii="Times New Roman" w:hAnsi="Times New Roman"/>
          <w:sz w:val="24"/>
        </w:rPr>
        <w:t>that Hepatitis C (HCV)</w:t>
      </w:r>
      <w:r>
        <w:rPr>
          <w:rFonts w:ascii="Times New Roman" w:hAnsi="Times New Roman"/>
          <w:sz w:val="24"/>
        </w:rPr>
        <w:t xml:space="preserve"> places on </w:t>
      </w:r>
      <w:r w:rsidR="00C97958">
        <w:rPr>
          <w:rFonts w:ascii="Times New Roman" w:hAnsi="Times New Roman"/>
          <w:sz w:val="24"/>
        </w:rPr>
        <w:t>Tribal communities</w:t>
      </w:r>
      <w:r>
        <w:rPr>
          <w:rFonts w:ascii="Times New Roman" w:hAnsi="Times New Roman"/>
          <w:sz w:val="24"/>
        </w:rPr>
        <w:t xml:space="preserve">, I am writing to ask for your support for </w:t>
      </w:r>
      <w:r w:rsidR="00AD1BA7">
        <w:rPr>
          <w:rFonts w:ascii="Times New Roman" w:hAnsi="Times New Roman"/>
          <w:sz w:val="24"/>
        </w:rPr>
        <w:t xml:space="preserve">formula-based and recurring </w:t>
      </w:r>
      <w:r w:rsidR="00583A1A">
        <w:rPr>
          <w:rFonts w:ascii="Times New Roman" w:hAnsi="Times New Roman"/>
          <w:sz w:val="24"/>
        </w:rPr>
        <w:t>funding for the Indian Health Service, Tribes, and urban Indian organizations (I/T/Us) to prevent, treat, and eliminate HCV</w:t>
      </w:r>
      <w:r>
        <w:rPr>
          <w:rFonts w:ascii="Times New Roman" w:hAnsi="Times New Roman"/>
          <w:sz w:val="24"/>
        </w:rPr>
        <w:t xml:space="preserve">. </w:t>
      </w:r>
      <w:r w:rsidR="00583A1A">
        <w:rPr>
          <w:rFonts w:ascii="Times New Roman" w:hAnsi="Times New Roman"/>
          <w:sz w:val="24"/>
        </w:rPr>
        <w:t xml:space="preserve">In the wake of the national opioid overdose epidemic, there has been little attention to co-occurring infections of HCV that have skyrocketed as a result of increased injection drug use. </w:t>
      </w:r>
    </w:p>
    <w:p w:rsidR="00583A1A" w:rsidRDefault="00583A1A" w:rsidP="00D61930">
      <w:pPr>
        <w:spacing w:after="0" w:line="240" w:lineRule="auto"/>
        <w:jc w:val="both"/>
        <w:rPr>
          <w:rFonts w:ascii="Times New Roman" w:hAnsi="Times New Roman"/>
          <w:sz w:val="24"/>
        </w:rPr>
      </w:pPr>
    </w:p>
    <w:p w:rsidR="00583A1A" w:rsidRDefault="00583A1A" w:rsidP="00D61930">
      <w:pPr>
        <w:spacing w:after="0" w:line="240" w:lineRule="auto"/>
        <w:jc w:val="both"/>
        <w:rPr>
          <w:rFonts w:ascii="Times New Roman" w:hAnsi="Times New Roman"/>
          <w:sz w:val="24"/>
        </w:rPr>
      </w:pPr>
      <w:r>
        <w:rPr>
          <w:rFonts w:ascii="Times New Roman" w:hAnsi="Times New Roman"/>
          <w:sz w:val="24"/>
        </w:rPr>
        <w:t xml:space="preserve">American Indians and Alaska Natives (AI/AN) have been disproportionately impacted by both the opioid overdose epidemic, </w:t>
      </w:r>
      <w:r>
        <w:rPr>
          <w:rFonts w:ascii="Times New Roman" w:hAnsi="Times New Roman"/>
          <w:sz w:val="24"/>
        </w:rPr>
        <w:lastRenderedPageBreak/>
        <w:t>and acute and chronic HCV infections. In 2016, the Centers for Disease Control and Prevention (CDC) declared that AI/ANs have the second highest opioid overdose fatality rate at 13.9 deaths per 100,000</w:t>
      </w:r>
      <w:r>
        <w:rPr>
          <w:rStyle w:val="FootnoteReference"/>
          <w:rFonts w:ascii="Times New Roman" w:hAnsi="Times New Roman"/>
          <w:sz w:val="24"/>
        </w:rPr>
        <w:footnoteReference w:id="1"/>
      </w:r>
      <w:r>
        <w:rPr>
          <w:rFonts w:ascii="Times New Roman" w:hAnsi="Times New Roman"/>
          <w:sz w:val="24"/>
        </w:rPr>
        <w:t>, while drug overdose deaths overall increased by 519% from 1999 to 2015 – the sharpest increase among all groups nationwide.</w:t>
      </w:r>
      <w:r>
        <w:rPr>
          <w:rStyle w:val="FootnoteReference"/>
          <w:rFonts w:ascii="Times New Roman" w:hAnsi="Times New Roman"/>
          <w:sz w:val="24"/>
        </w:rPr>
        <w:footnoteReference w:id="2"/>
      </w:r>
      <w:r>
        <w:rPr>
          <w:rFonts w:ascii="Times New Roman" w:hAnsi="Times New Roman"/>
          <w:sz w:val="24"/>
        </w:rPr>
        <w:t xml:space="preserve"> </w:t>
      </w:r>
    </w:p>
    <w:p w:rsidR="00583A1A" w:rsidRDefault="00583A1A" w:rsidP="00D61930">
      <w:pPr>
        <w:spacing w:after="0" w:line="240" w:lineRule="auto"/>
        <w:jc w:val="both"/>
        <w:rPr>
          <w:rFonts w:ascii="Times New Roman" w:hAnsi="Times New Roman"/>
          <w:sz w:val="24"/>
        </w:rPr>
      </w:pPr>
    </w:p>
    <w:p w:rsidR="000A7B50" w:rsidRDefault="00583A1A" w:rsidP="00D61930">
      <w:pPr>
        <w:spacing w:line="240" w:lineRule="auto"/>
        <w:jc w:val="both"/>
        <w:rPr>
          <w:rFonts w:ascii="Times New Roman" w:hAnsi="Times New Roman"/>
          <w:sz w:val="24"/>
        </w:rPr>
      </w:pPr>
      <w:r>
        <w:rPr>
          <w:rFonts w:ascii="Times New Roman" w:hAnsi="Times New Roman"/>
          <w:sz w:val="24"/>
        </w:rPr>
        <w:t xml:space="preserve">Similarly, </w:t>
      </w:r>
      <w:r w:rsidR="000A7B50">
        <w:rPr>
          <w:rFonts w:ascii="Times New Roman" w:hAnsi="Times New Roman"/>
          <w:sz w:val="24"/>
        </w:rPr>
        <w:t>incidence rates of acute</w:t>
      </w:r>
      <w:r>
        <w:rPr>
          <w:rFonts w:ascii="Times New Roman" w:hAnsi="Times New Roman"/>
          <w:sz w:val="24"/>
        </w:rPr>
        <w:t xml:space="preserve"> HCV </w:t>
      </w:r>
      <w:r w:rsidR="000A7B50">
        <w:rPr>
          <w:rFonts w:ascii="Times New Roman" w:hAnsi="Times New Roman"/>
          <w:sz w:val="24"/>
        </w:rPr>
        <w:t>have been higher among AI/ANs compared to other groups since at least 2001. In 2016, AI/ANs had the highest HCV-related mortality rate at 10.8 deaths per 100,000, compared to a national average of 4.5 deaths per 100,000.</w:t>
      </w:r>
      <w:r w:rsidR="000A7B50">
        <w:rPr>
          <w:rStyle w:val="FootnoteReference"/>
          <w:rFonts w:ascii="Times New Roman" w:hAnsi="Times New Roman"/>
          <w:sz w:val="24"/>
        </w:rPr>
        <w:footnoteReference w:id="3"/>
      </w:r>
      <w:r w:rsidR="000A7B50">
        <w:rPr>
          <w:rFonts w:ascii="Times New Roman" w:hAnsi="Times New Roman"/>
          <w:sz w:val="24"/>
        </w:rPr>
        <w:t xml:space="preserve"> </w:t>
      </w:r>
      <w:r w:rsidR="00F8602B" w:rsidRPr="000A7B50">
        <w:rPr>
          <w:rFonts w:ascii="Times New Roman" w:hAnsi="Times New Roman"/>
          <w:sz w:val="24"/>
        </w:rPr>
        <w:t xml:space="preserve">Age-adjusted rates of chronic liver disease </w:t>
      </w:r>
      <w:r w:rsidR="00F8602B" w:rsidRPr="000A7B50">
        <w:rPr>
          <w:rFonts w:ascii="Times New Roman" w:hAnsi="Times New Roman"/>
          <w:sz w:val="24"/>
        </w:rPr>
        <w:lastRenderedPageBreak/>
        <w:t>and cirrhosis deaths are 2.3 times higher among AI/ANs compared to non-Hispanic Whites</w:t>
      </w:r>
      <w:r w:rsidR="00F8602B" w:rsidRPr="000A7B50">
        <w:rPr>
          <w:rFonts w:ascii="Times New Roman" w:hAnsi="Times New Roman"/>
          <w:sz w:val="24"/>
          <w:vertAlign w:val="superscript"/>
        </w:rPr>
        <w:footnoteReference w:id="4"/>
      </w:r>
      <w:r w:rsidR="00F8602B" w:rsidRPr="000A7B50">
        <w:rPr>
          <w:rFonts w:ascii="Times New Roman" w:hAnsi="Times New Roman"/>
          <w:sz w:val="24"/>
        </w:rPr>
        <w:t>, with AI/ANs also 2.5 times more likely than Whites to receive a chronic liver disease diagnosis.</w:t>
      </w:r>
      <w:r w:rsidR="00F8602B" w:rsidRPr="000A7B50">
        <w:rPr>
          <w:rFonts w:ascii="Times New Roman" w:hAnsi="Times New Roman"/>
          <w:sz w:val="24"/>
          <w:vertAlign w:val="superscript"/>
        </w:rPr>
        <w:footnoteReference w:id="5"/>
      </w:r>
      <w:r w:rsidR="00F8602B" w:rsidRPr="000A7B50">
        <w:rPr>
          <w:rFonts w:ascii="Times New Roman" w:hAnsi="Times New Roman"/>
          <w:sz w:val="24"/>
        </w:rPr>
        <w:t xml:space="preserve"> </w:t>
      </w:r>
      <w:r w:rsidR="00B1508C">
        <w:rPr>
          <w:rFonts w:ascii="Times New Roman" w:hAnsi="Times New Roman"/>
          <w:sz w:val="24"/>
        </w:rPr>
        <w:t>[</w:t>
      </w:r>
      <w:r w:rsidR="00B1508C" w:rsidRPr="00B1508C">
        <w:rPr>
          <w:rFonts w:ascii="Times New Roman" w:hAnsi="Times New Roman"/>
          <w:b/>
          <w:sz w:val="24"/>
          <w:highlight w:val="yellow"/>
        </w:rPr>
        <w:t xml:space="preserve">INSERT LOCAL STATISTICS IF </w:t>
      </w:r>
      <w:r w:rsidR="0009162E" w:rsidRPr="0009162E">
        <w:rPr>
          <w:rFonts w:ascii="Times New Roman" w:hAnsi="Times New Roman"/>
          <w:b/>
          <w:sz w:val="24"/>
          <w:highlight w:val="yellow"/>
        </w:rPr>
        <w:t>APPLICABLE</w:t>
      </w:r>
      <w:r w:rsidR="00B1508C">
        <w:rPr>
          <w:rFonts w:ascii="Times New Roman" w:hAnsi="Times New Roman"/>
          <w:sz w:val="24"/>
        </w:rPr>
        <w:t>]</w:t>
      </w:r>
    </w:p>
    <w:p w:rsidR="00507B63" w:rsidRDefault="00AD1BA7" w:rsidP="00D61930">
      <w:pPr>
        <w:spacing w:line="240" w:lineRule="auto"/>
        <w:jc w:val="both"/>
        <w:rPr>
          <w:rFonts w:ascii="Times New Roman" w:hAnsi="Times New Roman"/>
          <w:sz w:val="24"/>
        </w:rPr>
      </w:pPr>
      <w:r>
        <w:rPr>
          <w:rFonts w:ascii="Times New Roman" w:hAnsi="Times New Roman"/>
          <w:sz w:val="24"/>
        </w:rPr>
        <w:t>In recent years, a</w:t>
      </w:r>
      <w:r w:rsidR="000A7B50">
        <w:rPr>
          <w:rFonts w:ascii="Times New Roman" w:hAnsi="Times New Roman"/>
          <w:sz w:val="24"/>
        </w:rPr>
        <w:t xml:space="preserve">dvancements in </w:t>
      </w:r>
      <w:r>
        <w:rPr>
          <w:rFonts w:ascii="Times New Roman" w:hAnsi="Times New Roman"/>
          <w:sz w:val="24"/>
        </w:rPr>
        <w:t>medical research</w:t>
      </w:r>
      <w:r w:rsidR="000A7B50">
        <w:rPr>
          <w:rFonts w:ascii="Times New Roman" w:hAnsi="Times New Roman"/>
          <w:sz w:val="24"/>
        </w:rPr>
        <w:t xml:space="preserve"> have significantly improved </w:t>
      </w:r>
      <w:r w:rsidR="00AD504E">
        <w:rPr>
          <w:rFonts w:ascii="Times New Roman" w:hAnsi="Times New Roman"/>
          <w:sz w:val="24"/>
        </w:rPr>
        <w:t xml:space="preserve">cure rates for people being treated </w:t>
      </w:r>
      <w:r>
        <w:rPr>
          <w:rFonts w:ascii="Times New Roman" w:hAnsi="Times New Roman"/>
          <w:sz w:val="24"/>
        </w:rPr>
        <w:t>for</w:t>
      </w:r>
      <w:r w:rsidR="00AD504E">
        <w:rPr>
          <w:rFonts w:ascii="Times New Roman" w:hAnsi="Times New Roman"/>
          <w:sz w:val="24"/>
        </w:rPr>
        <w:t xml:space="preserve"> HCV. Whereas only a few years ago cure rates hovered around 60%,</w:t>
      </w:r>
      <w:r>
        <w:rPr>
          <w:rFonts w:ascii="Times New Roman" w:hAnsi="Times New Roman"/>
          <w:sz w:val="24"/>
        </w:rPr>
        <w:t xml:space="preserve"> </w:t>
      </w:r>
      <w:r w:rsidR="00AD504E">
        <w:rPr>
          <w:rFonts w:ascii="Times New Roman" w:hAnsi="Times New Roman"/>
          <w:sz w:val="24"/>
        </w:rPr>
        <w:t>newer drugs on the market have been shown to cure HCV in up to 99% of people.</w:t>
      </w:r>
      <w:r w:rsidR="00AD504E">
        <w:rPr>
          <w:rStyle w:val="FootnoteReference"/>
          <w:rFonts w:ascii="Times New Roman" w:hAnsi="Times New Roman"/>
          <w:sz w:val="24"/>
        </w:rPr>
        <w:footnoteReference w:id="6"/>
      </w:r>
      <w:r w:rsidR="00AD504E">
        <w:rPr>
          <w:rFonts w:ascii="Times New Roman" w:hAnsi="Times New Roman"/>
          <w:sz w:val="24"/>
        </w:rPr>
        <w:t xml:space="preserve"> </w:t>
      </w:r>
      <w:r>
        <w:rPr>
          <w:rFonts w:ascii="Times New Roman" w:hAnsi="Times New Roman"/>
          <w:sz w:val="24"/>
        </w:rPr>
        <w:t>In fact, the</w:t>
      </w:r>
      <w:r w:rsidR="00AD504E">
        <w:rPr>
          <w:rFonts w:ascii="Times New Roman" w:hAnsi="Times New Roman"/>
          <w:sz w:val="24"/>
        </w:rPr>
        <w:t xml:space="preserve"> cost of HCV medications have plummeted in recent years</w:t>
      </w:r>
      <w:r w:rsidR="00293280">
        <w:rPr>
          <w:rFonts w:ascii="Times New Roman" w:hAnsi="Times New Roman"/>
          <w:sz w:val="24"/>
        </w:rPr>
        <w:t xml:space="preserve"> – going from nearly $95,000 for a full </w:t>
      </w:r>
      <w:r w:rsidR="00B1508C">
        <w:rPr>
          <w:rFonts w:ascii="Times New Roman" w:hAnsi="Times New Roman"/>
          <w:sz w:val="24"/>
        </w:rPr>
        <w:t xml:space="preserve">treatment </w:t>
      </w:r>
      <w:r w:rsidR="00293280">
        <w:rPr>
          <w:rFonts w:ascii="Times New Roman" w:hAnsi="Times New Roman"/>
          <w:sz w:val="24"/>
        </w:rPr>
        <w:t xml:space="preserve">regimen using older medications to roughly </w:t>
      </w:r>
      <w:r w:rsidR="00293280">
        <w:rPr>
          <w:rFonts w:ascii="Times New Roman" w:hAnsi="Times New Roman"/>
          <w:sz w:val="24"/>
        </w:rPr>
        <w:lastRenderedPageBreak/>
        <w:t xml:space="preserve">$26,400 for a full regimen </w:t>
      </w:r>
      <w:r w:rsidR="00B1508C">
        <w:rPr>
          <w:rFonts w:ascii="Times New Roman" w:hAnsi="Times New Roman"/>
          <w:sz w:val="24"/>
        </w:rPr>
        <w:t>using</w:t>
      </w:r>
      <w:r w:rsidR="00293280">
        <w:rPr>
          <w:rFonts w:ascii="Times New Roman" w:hAnsi="Times New Roman"/>
          <w:sz w:val="24"/>
        </w:rPr>
        <w:t xml:space="preserve"> newer medications. However, treatment </w:t>
      </w:r>
      <w:r w:rsidR="00507B63">
        <w:rPr>
          <w:rFonts w:ascii="Times New Roman" w:hAnsi="Times New Roman"/>
          <w:sz w:val="24"/>
        </w:rPr>
        <w:t>access remains severely limited for several reasons.</w:t>
      </w:r>
    </w:p>
    <w:p w:rsidR="00507B63" w:rsidRDefault="00507B63" w:rsidP="00D61930">
      <w:pPr>
        <w:pStyle w:val="ListParagraph"/>
        <w:numPr>
          <w:ilvl w:val="0"/>
          <w:numId w:val="3"/>
        </w:numPr>
        <w:spacing w:line="240" w:lineRule="auto"/>
        <w:jc w:val="both"/>
        <w:rPr>
          <w:rFonts w:ascii="Times New Roman" w:hAnsi="Times New Roman"/>
          <w:sz w:val="24"/>
        </w:rPr>
      </w:pPr>
      <w:r w:rsidRPr="00507B63">
        <w:rPr>
          <w:rFonts w:ascii="Times New Roman" w:hAnsi="Times New Roman"/>
          <w:sz w:val="24"/>
        </w:rPr>
        <w:t xml:space="preserve">In </w:t>
      </w:r>
      <w:r w:rsidR="00293280" w:rsidRPr="00507B63">
        <w:rPr>
          <w:rFonts w:ascii="Times New Roman" w:hAnsi="Times New Roman"/>
          <w:sz w:val="24"/>
        </w:rPr>
        <w:t>FY 2017, per capita health expen</w:t>
      </w:r>
      <w:r w:rsidR="00304973">
        <w:rPr>
          <w:rFonts w:ascii="Times New Roman" w:hAnsi="Times New Roman"/>
          <w:sz w:val="24"/>
        </w:rPr>
        <w:t>ditures at the IHS were at $</w:t>
      </w:r>
      <w:r w:rsidR="00304973" w:rsidRPr="00304973">
        <w:rPr>
          <w:rFonts w:ascii="Times New Roman" w:hAnsi="Times New Roman"/>
          <w:sz w:val="24"/>
        </w:rPr>
        <w:t>3,332</w:t>
      </w:r>
      <w:r w:rsidR="00304973">
        <w:rPr>
          <w:rFonts w:ascii="Times New Roman" w:hAnsi="Times New Roman"/>
          <w:sz w:val="24"/>
        </w:rPr>
        <w:t xml:space="preserve"> compared to $9,207</w:t>
      </w:r>
      <w:r w:rsidR="00293280" w:rsidRPr="00507B63">
        <w:rPr>
          <w:rFonts w:ascii="Times New Roman" w:hAnsi="Times New Roman"/>
          <w:sz w:val="24"/>
        </w:rPr>
        <w:t xml:space="preserve"> nationally.</w:t>
      </w:r>
      <w:r w:rsidR="00293280">
        <w:rPr>
          <w:rStyle w:val="FootnoteReference"/>
          <w:rFonts w:ascii="Times New Roman" w:hAnsi="Times New Roman"/>
          <w:sz w:val="24"/>
        </w:rPr>
        <w:footnoteReference w:id="7"/>
      </w:r>
      <w:r w:rsidR="00293280" w:rsidRPr="00507B63">
        <w:rPr>
          <w:rFonts w:ascii="Times New Roman" w:hAnsi="Times New Roman"/>
          <w:sz w:val="24"/>
        </w:rPr>
        <w:t xml:space="preserve"> </w:t>
      </w:r>
      <w:r>
        <w:rPr>
          <w:rFonts w:ascii="Times New Roman" w:hAnsi="Times New Roman"/>
          <w:sz w:val="24"/>
        </w:rPr>
        <w:t xml:space="preserve">With limited funding, many IHS facilities are forced to prioritize coverage for life and limb services at the expense of preventative and treatment-based care. </w:t>
      </w:r>
    </w:p>
    <w:p w:rsidR="00507B63" w:rsidRDefault="00507B63" w:rsidP="00D61930">
      <w:pPr>
        <w:pStyle w:val="ListParagraph"/>
        <w:numPr>
          <w:ilvl w:val="0"/>
          <w:numId w:val="3"/>
        </w:numPr>
        <w:spacing w:line="240" w:lineRule="auto"/>
        <w:jc w:val="both"/>
        <w:rPr>
          <w:rFonts w:ascii="Times New Roman" w:hAnsi="Times New Roman"/>
          <w:sz w:val="24"/>
        </w:rPr>
      </w:pPr>
      <w:r>
        <w:rPr>
          <w:rFonts w:ascii="Times New Roman" w:hAnsi="Times New Roman"/>
          <w:sz w:val="24"/>
        </w:rPr>
        <w:t>While the Veterans Administration (VA) received $1.5 billion in supplemental funding for HCV elimination</w:t>
      </w:r>
      <w:r>
        <w:rPr>
          <w:rStyle w:val="FootnoteReference"/>
          <w:rFonts w:ascii="Times New Roman" w:hAnsi="Times New Roman"/>
          <w:sz w:val="24"/>
        </w:rPr>
        <w:footnoteReference w:id="8"/>
      </w:r>
      <w:r>
        <w:rPr>
          <w:rFonts w:ascii="Times New Roman" w:hAnsi="Times New Roman"/>
          <w:sz w:val="24"/>
        </w:rPr>
        <w:t xml:space="preserve">, the IHS has received no such matching funds. Without these extra dollars, IHS is unable to cover the cost of medications for treatment. </w:t>
      </w:r>
    </w:p>
    <w:p w:rsidR="00AD504E" w:rsidRDefault="00507B63" w:rsidP="00D61930">
      <w:pPr>
        <w:pStyle w:val="ListParagraph"/>
        <w:numPr>
          <w:ilvl w:val="0"/>
          <w:numId w:val="3"/>
        </w:numPr>
        <w:spacing w:line="240" w:lineRule="auto"/>
        <w:jc w:val="both"/>
        <w:rPr>
          <w:rFonts w:ascii="Times New Roman" w:hAnsi="Times New Roman"/>
          <w:sz w:val="24"/>
        </w:rPr>
      </w:pPr>
      <w:r>
        <w:rPr>
          <w:rFonts w:ascii="Times New Roman" w:hAnsi="Times New Roman"/>
          <w:sz w:val="24"/>
        </w:rPr>
        <w:lastRenderedPageBreak/>
        <w:t>Roughly</w:t>
      </w:r>
      <w:r w:rsidR="00293280" w:rsidRPr="00507B63">
        <w:rPr>
          <w:rFonts w:ascii="Times New Roman" w:hAnsi="Times New Roman"/>
          <w:sz w:val="24"/>
        </w:rPr>
        <w:t xml:space="preserve"> 26% of AI/ANs </w:t>
      </w:r>
      <w:r w:rsidR="00AD1BA7">
        <w:rPr>
          <w:rFonts w:ascii="Times New Roman" w:hAnsi="Times New Roman"/>
          <w:sz w:val="24"/>
        </w:rPr>
        <w:t>live</w:t>
      </w:r>
      <w:r w:rsidRPr="00507B63">
        <w:rPr>
          <w:rFonts w:ascii="Times New Roman" w:hAnsi="Times New Roman"/>
          <w:sz w:val="24"/>
        </w:rPr>
        <w:t xml:space="preserve"> in </w:t>
      </w:r>
      <w:r w:rsidR="00AD1BA7">
        <w:rPr>
          <w:rFonts w:ascii="Times New Roman" w:hAnsi="Times New Roman"/>
          <w:sz w:val="24"/>
        </w:rPr>
        <w:t>poverty</w:t>
      </w:r>
      <w:r w:rsidRPr="00507B63">
        <w:rPr>
          <w:rFonts w:ascii="Times New Roman" w:hAnsi="Times New Roman"/>
          <w:sz w:val="24"/>
        </w:rPr>
        <w:t xml:space="preserve"> with </w:t>
      </w:r>
      <w:r w:rsidR="00293280" w:rsidRPr="00507B63">
        <w:rPr>
          <w:rFonts w:ascii="Times New Roman" w:hAnsi="Times New Roman"/>
          <w:sz w:val="24"/>
        </w:rPr>
        <w:t>median household incomes at roughly $39,500</w:t>
      </w:r>
      <w:r>
        <w:rPr>
          <w:rStyle w:val="FootnoteReference"/>
          <w:rFonts w:ascii="Times New Roman" w:hAnsi="Times New Roman"/>
          <w:sz w:val="24"/>
        </w:rPr>
        <w:footnoteReference w:id="9"/>
      </w:r>
      <w:r w:rsidRPr="00507B63">
        <w:rPr>
          <w:rFonts w:ascii="Times New Roman" w:hAnsi="Times New Roman"/>
          <w:sz w:val="24"/>
        </w:rPr>
        <w:t xml:space="preserve">, making the out-of-pocket costs for HCV medications nearly insurmountable.  </w:t>
      </w:r>
    </w:p>
    <w:p w:rsidR="00507B63" w:rsidRPr="00507B63" w:rsidRDefault="00507B63" w:rsidP="00D61930">
      <w:pPr>
        <w:pStyle w:val="ListParagraph"/>
        <w:numPr>
          <w:ilvl w:val="0"/>
          <w:numId w:val="3"/>
        </w:numPr>
        <w:spacing w:line="240" w:lineRule="auto"/>
        <w:jc w:val="both"/>
        <w:rPr>
          <w:rFonts w:ascii="Times New Roman" w:hAnsi="Times New Roman"/>
          <w:sz w:val="24"/>
        </w:rPr>
      </w:pPr>
      <w:r>
        <w:rPr>
          <w:rFonts w:ascii="Times New Roman" w:hAnsi="Times New Roman"/>
          <w:sz w:val="24"/>
        </w:rPr>
        <w:t xml:space="preserve">Many state Medicaid agencies have imposed harsh coverage restrictions for treatment, including sobriety requirements, prescriber limitations, and coverage for only the most advanced cases of liver fibrosis. Not only does this leave many patients behind, it also contradicts national HCV guidelines </w:t>
      </w:r>
      <w:r w:rsidRPr="00507B63">
        <w:rPr>
          <w:rFonts w:ascii="Times New Roman" w:hAnsi="Times New Roman"/>
          <w:sz w:val="24"/>
        </w:rPr>
        <w:t>developed by the American Association for the Study of Liver Disease (AASLD) and the Infectious Diseases Society of America (ISDA).</w:t>
      </w:r>
      <w:r w:rsidRPr="00507B63">
        <w:rPr>
          <w:rFonts w:ascii="Times New Roman" w:hAnsi="Times New Roman"/>
          <w:sz w:val="24"/>
          <w:vertAlign w:val="superscript"/>
        </w:rPr>
        <w:footnoteReference w:id="10"/>
      </w:r>
    </w:p>
    <w:p w:rsidR="00A136B9" w:rsidRPr="00B1508C" w:rsidRDefault="00B1508C" w:rsidP="00D61930">
      <w:pPr>
        <w:pStyle w:val="ListParagraph"/>
        <w:numPr>
          <w:ilvl w:val="0"/>
          <w:numId w:val="3"/>
        </w:numPr>
        <w:spacing w:line="240" w:lineRule="auto"/>
        <w:jc w:val="both"/>
        <w:rPr>
          <w:rFonts w:ascii="Times New Roman" w:hAnsi="Times New Roman"/>
          <w:sz w:val="24"/>
        </w:rPr>
      </w:pPr>
      <w:r>
        <w:rPr>
          <w:rFonts w:ascii="Times New Roman" w:hAnsi="Times New Roman"/>
          <w:sz w:val="24"/>
        </w:rPr>
        <w:t xml:space="preserve">Private insurance coverage of HCV is also limited. In one study of commercially insured individuals from 2014 to </w:t>
      </w:r>
      <w:r>
        <w:rPr>
          <w:rFonts w:ascii="Times New Roman" w:hAnsi="Times New Roman"/>
          <w:sz w:val="24"/>
        </w:rPr>
        <w:lastRenderedPageBreak/>
        <w:t>2017, over 52% of private payers denied coverage for HCV medications, citing the high cost for medications.</w:t>
      </w:r>
      <w:r>
        <w:rPr>
          <w:rStyle w:val="FootnoteReference"/>
          <w:rFonts w:ascii="Times New Roman" w:hAnsi="Times New Roman"/>
          <w:sz w:val="24"/>
        </w:rPr>
        <w:footnoteReference w:id="11"/>
      </w:r>
      <w:r>
        <w:rPr>
          <w:rFonts w:ascii="Times New Roman" w:hAnsi="Times New Roman"/>
          <w:sz w:val="24"/>
        </w:rPr>
        <w:t xml:space="preserve"> </w:t>
      </w:r>
    </w:p>
    <w:p w:rsidR="00A136B9" w:rsidRDefault="00B1508C" w:rsidP="00D61930">
      <w:pPr>
        <w:spacing w:after="0" w:line="240" w:lineRule="auto"/>
        <w:jc w:val="both"/>
        <w:rPr>
          <w:rFonts w:ascii="Times New Roman" w:hAnsi="Times New Roman"/>
          <w:sz w:val="24"/>
        </w:rPr>
      </w:pPr>
      <w:r>
        <w:rPr>
          <w:rFonts w:ascii="Times New Roman" w:hAnsi="Times New Roman"/>
          <w:sz w:val="24"/>
        </w:rPr>
        <w:t xml:space="preserve">Unlike many other infectious diseases, advancements in modern medicine have led to </w:t>
      </w:r>
      <w:r w:rsidR="00AD1BA7">
        <w:rPr>
          <w:rFonts w:ascii="Times New Roman" w:hAnsi="Times New Roman"/>
          <w:sz w:val="24"/>
        </w:rPr>
        <w:t xml:space="preserve">the availability of </w:t>
      </w:r>
      <w:r>
        <w:rPr>
          <w:rFonts w:ascii="Times New Roman" w:hAnsi="Times New Roman"/>
          <w:sz w:val="24"/>
        </w:rPr>
        <w:t>curative treatments for HCV. The federal trust and treaty oblig</w:t>
      </w:r>
      <w:bookmarkStart w:id="0" w:name="_GoBack"/>
      <w:bookmarkEnd w:id="0"/>
      <w:r>
        <w:rPr>
          <w:rFonts w:ascii="Times New Roman" w:hAnsi="Times New Roman"/>
          <w:sz w:val="24"/>
        </w:rPr>
        <w:t>ations to provide health services to Tribal Nations must include prevention and treatment for HCV. We ask that you demonstrate your support for advancing the health of all AI/ANs by supporting base funding for HCV elimination throughout the I/T/U system. [</w:t>
      </w:r>
      <w:r w:rsidRPr="00B1508C">
        <w:rPr>
          <w:rFonts w:ascii="Times New Roman" w:hAnsi="Times New Roman"/>
          <w:b/>
          <w:sz w:val="24"/>
          <w:highlight w:val="yellow"/>
        </w:rPr>
        <w:t>INSERT COMMENT THANKING REPRESENTATIVE FOR THEIR SUPPORT</w:t>
      </w:r>
      <w:r>
        <w:rPr>
          <w:rFonts w:ascii="Times New Roman" w:hAnsi="Times New Roman"/>
          <w:sz w:val="24"/>
        </w:rPr>
        <w:t xml:space="preserve">]. Should you have any questions or comments, please feel free to contact us at </w:t>
      </w:r>
      <w:r w:rsidR="00AD1BA7">
        <w:rPr>
          <w:rFonts w:ascii="Times New Roman" w:hAnsi="Times New Roman"/>
          <w:sz w:val="24"/>
        </w:rPr>
        <w:t>[</w:t>
      </w:r>
      <w:r w:rsidR="00AD1BA7" w:rsidRPr="00AD1BA7">
        <w:rPr>
          <w:rFonts w:ascii="Times New Roman" w:hAnsi="Times New Roman"/>
          <w:b/>
          <w:sz w:val="24"/>
          <w:highlight w:val="yellow"/>
        </w:rPr>
        <w:t>INSERT CONTACT INFO</w:t>
      </w:r>
      <w:r w:rsidR="00AD1BA7">
        <w:rPr>
          <w:rFonts w:ascii="Times New Roman" w:hAnsi="Times New Roman"/>
          <w:sz w:val="24"/>
        </w:rPr>
        <w:t>]</w:t>
      </w:r>
    </w:p>
    <w:p w:rsidR="00AD1BA7" w:rsidRDefault="00AD1BA7" w:rsidP="00D61930">
      <w:pPr>
        <w:spacing w:after="0" w:line="240" w:lineRule="auto"/>
        <w:jc w:val="both"/>
        <w:rPr>
          <w:rFonts w:ascii="Times New Roman" w:hAnsi="Times New Roman"/>
          <w:sz w:val="24"/>
        </w:rPr>
      </w:pPr>
    </w:p>
    <w:p w:rsidR="00385E13" w:rsidRDefault="00AD1BA7" w:rsidP="00D61930">
      <w:pPr>
        <w:spacing w:after="0" w:line="240" w:lineRule="auto"/>
        <w:jc w:val="both"/>
        <w:rPr>
          <w:rFonts w:ascii="Times New Roman" w:hAnsi="Times New Roman"/>
          <w:sz w:val="24"/>
        </w:rPr>
      </w:pPr>
      <w:r>
        <w:rPr>
          <w:rFonts w:ascii="Times New Roman" w:hAnsi="Times New Roman"/>
          <w:sz w:val="24"/>
        </w:rPr>
        <w:t>Sincerely,</w:t>
      </w:r>
    </w:p>
    <w:p w:rsidR="005056E0" w:rsidRPr="00750F9F" w:rsidRDefault="00AD1BA7" w:rsidP="00F8602B">
      <w:pPr>
        <w:spacing w:after="0" w:line="240" w:lineRule="auto"/>
        <w:jc w:val="both"/>
        <w:rPr>
          <w:rFonts w:ascii="Times New Roman" w:hAnsi="Times New Roman"/>
          <w:sz w:val="24"/>
        </w:rPr>
      </w:pPr>
      <w:r>
        <w:rPr>
          <w:rFonts w:ascii="Times New Roman" w:hAnsi="Times New Roman"/>
          <w:sz w:val="24"/>
        </w:rPr>
        <w:t>[</w:t>
      </w:r>
      <w:r w:rsidRPr="00AD1BA7">
        <w:rPr>
          <w:rFonts w:ascii="Times New Roman" w:hAnsi="Times New Roman"/>
          <w:b/>
          <w:sz w:val="24"/>
          <w:highlight w:val="yellow"/>
        </w:rPr>
        <w:t>INSERT NAME OF TRIBE OR ORGANIZATION</w:t>
      </w:r>
      <w:r>
        <w:rPr>
          <w:rFonts w:ascii="Times New Roman" w:hAnsi="Times New Roman"/>
          <w:sz w:val="24"/>
        </w:rPr>
        <w:t>]</w:t>
      </w:r>
    </w:p>
    <w:sectPr w:rsidR="005056E0" w:rsidRPr="00750F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5C" w:rsidRDefault="00D5235C" w:rsidP="007A5E36">
      <w:pPr>
        <w:spacing w:after="0" w:line="240" w:lineRule="auto"/>
      </w:pPr>
      <w:r>
        <w:separator/>
      </w:r>
    </w:p>
  </w:endnote>
  <w:endnote w:type="continuationSeparator" w:id="0">
    <w:p w:rsidR="00D5235C" w:rsidRDefault="00D5235C"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82702"/>
      <w:docPartObj>
        <w:docPartGallery w:val="Page Numbers (Bottom of Page)"/>
        <w:docPartUnique/>
      </w:docPartObj>
    </w:sdtPr>
    <w:sdtEndPr/>
    <w:sdtContent>
      <w:sdt>
        <w:sdtPr>
          <w:id w:val="-1769616900"/>
          <w:docPartObj>
            <w:docPartGallery w:val="Page Numbers (Top of Page)"/>
            <w:docPartUnique/>
          </w:docPartObj>
        </w:sdtPr>
        <w:sdtEndPr/>
        <w:sdtContent>
          <w:p w:rsidR="00583A1A" w:rsidRDefault="00583A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1C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CB5">
              <w:rPr>
                <w:b/>
                <w:bCs/>
                <w:noProof/>
              </w:rPr>
              <w:t>2</w:t>
            </w:r>
            <w:r>
              <w:rPr>
                <w:b/>
                <w:bCs/>
                <w:sz w:val="24"/>
                <w:szCs w:val="24"/>
              </w:rPr>
              <w:fldChar w:fldCharType="end"/>
            </w:r>
          </w:p>
        </w:sdtContent>
      </w:sdt>
    </w:sdtContent>
  </w:sdt>
  <w:p w:rsidR="00583A1A" w:rsidRDefault="0058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5C" w:rsidRDefault="00D5235C" w:rsidP="007A5E36">
      <w:pPr>
        <w:spacing w:after="0" w:line="240" w:lineRule="auto"/>
      </w:pPr>
      <w:r>
        <w:separator/>
      </w:r>
    </w:p>
  </w:footnote>
  <w:footnote w:type="continuationSeparator" w:id="0">
    <w:p w:rsidR="00D5235C" w:rsidRDefault="00D5235C" w:rsidP="007A5E36">
      <w:pPr>
        <w:spacing w:after="0" w:line="240" w:lineRule="auto"/>
      </w:pPr>
      <w:r>
        <w:continuationSeparator/>
      </w:r>
    </w:p>
  </w:footnote>
  <w:footnote w:id="1">
    <w:p w:rsidR="00583A1A" w:rsidRDefault="00583A1A">
      <w:pPr>
        <w:pStyle w:val="FootnoteText"/>
      </w:pPr>
      <w:r>
        <w:rPr>
          <w:rStyle w:val="FootnoteReference"/>
        </w:rPr>
        <w:footnoteRef/>
      </w:r>
      <w:r>
        <w:t xml:space="preserve"> </w:t>
      </w:r>
      <w:r w:rsidRPr="00583A1A">
        <w:t>Seth P, Scholl L, Rudd RA, Bacon S. Overdose Deaths Involving Opioids, Cocaine, and Psychostimulants — United States, 2015–2016. MMWR Morb Mortal Wkly Rep 2018;67:349–358. DOI: </w:t>
      </w:r>
      <w:hyperlink r:id="rId1" w:tgtFrame="_self" w:history="1">
        <w:r w:rsidRPr="00583A1A">
          <w:rPr>
            <w:rStyle w:val="Hyperlink"/>
            <w:rFonts w:cstheme="minorBidi"/>
          </w:rPr>
          <w:t>http://dx.doi.org/10.15585/mmwr.mm6712a</w:t>
        </w:r>
      </w:hyperlink>
    </w:p>
  </w:footnote>
  <w:footnote w:id="2">
    <w:p w:rsidR="00583A1A" w:rsidRDefault="00583A1A">
      <w:pPr>
        <w:pStyle w:val="FootnoteText"/>
      </w:pPr>
      <w:r>
        <w:rPr>
          <w:rStyle w:val="FootnoteReference"/>
        </w:rPr>
        <w:footnoteRef/>
      </w:r>
      <w:r>
        <w:t xml:space="preserve"> </w:t>
      </w:r>
      <w:r w:rsidRPr="00583A1A">
        <w:t>Mack KA, Jones CM, Ballesteros MF. Illicit Drug Use, Illicit Drug Use Disorders, and Drug Overdose Deaths in Metropolitan and Nonmetropolitan Areas — United States. MMWR Surveill Summ 2017;66(No. SS-19):1–12. DOI: </w:t>
      </w:r>
      <w:hyperlink r:id="rId2" w:tgtFrame="_self" w:history="1">
        <w:r w:rsidRPr="00583A1A">
          <w:rPr>
            <w:rStyle w:val="Hyperlink"/>
            <w:rFonts w:cstheme="minorBidi"/>
          </w:rPr>
          <w:t>http://dx.doi.org/10.15585/mmwr.ss6619a1</w:t>
        </w:r>
      </w:hyperlink>
    </w:p>
  </w:footnote>
  <w:footnote w:id="3">
    <w:p w:rsidR="000A7B50" w:rsidRDefault="000A7B50">
      <w:pPr>
        <w:pStyle w:val="FootnoteText"/>
      </w:pPr>
      <w:r>
        <w:rPr>
          <w:rStyle w:val="FootnoteReference"/>
        </w:rPr>
        <w:footnoteRef/>
      </w:r>
      <w:r>
        <w:t xml:space="preserve"> </w:t>
      </w:r>
      <w:r w:rsidRPr="000A7B50">
        <w:t xml:space="preserve">Centers for Disease Control and Prevention. Surveillance for Viral Hepatitis: United States, 2016. Retrieved from </w:t>
      </w:r>
      <w:hyperlink r:id="rId3" w:history="1">
        <w:r w:rsidRPr="000A7B50">
          <w:rPr>
            <w:rStyle w:val="Hyperlink"/>
            <w:rFonts w:cstheme="minorBidi"/>
          </w:rPr>
          <w:t>https://www.cdc.gov/hepatitis/statistics/2016surveillance/commentary.htm</w:t>
        </w:r>
      </w:hyperlink>
    </w:p>
  </w:footnote>
  <w:footnote w:id="4">
    <w:p w:rsidR="000A7B50" w:rsidRDefault="000A7B50" w:rsidP="000A7B50">
      <w:pPr>
        <w:pStyle w:val="FootnoteText"/>
      </w:pPr>
      <w:r>
        <w:rPr>
          <w:rStyle w:val="FootnoteReference"/>
        </w:rPr>
        <w:footnoteRef/>
      </w:r>
      <w:r>
        <w:t xml:space="preserve"> Center for Disease Control and Prevention.</w:t>
      </w:r>
      <w:r w:rsidRPr="00E63698">
        <w:t xml:space="preserve"> 2016. Deaths: Final Data for 2014. Table 16 and Table 17.</w:t>
      </w:r>
      <w:r w:rsidRPr="00E63698">
        <w:br/>
      </w:r>
      <w:hyperlink r:id="rId4" w:history="1">
        <w:r w:rsidRPr="00E63698">
          <w:rPr>
            <w:rStyle w:val="Hyperlink"/>
          </w:rPr>
          <w:t>http://www.cdc.gov/nchs/data/nvsr/nvsr65/nvsr65_04.pdf</w:t>
        </w:r>
      </w:hyperlink>
      <w:r w:rsidRPr="00E63698">
        <w:t> </w:t>
      </w:r>
    </w:p>
  </w:footnote>
  <w:footnote w:id="5">
    <w:p w:rsidR="000A7B50" w:rsidRDefault="000A7B50" w:rsidP="000A7B50">
      <w:pPr>
        <w:pStyle w:val="FootnoteText"/>
      </w:pPr>
      <w:r>
        <w:rPr>
          <w:rStyle w:val="FootnoteReference"/>
        </w:rPr>
        <w:footnoteRef/>
      </w:r>
      <w:r>
        <w:t xml:space="preserve"> </w:t>
      </w:r>
      <w:r w:rsidRPr="00E63698">
        <w:t>CDC, National Center for Injury Prevention and Control. Web-based Injury Statistics Query and Reporting System (WISQARS)</w:t>
      </w:r>
      <w:r w:rsidRPr="00E63698">
        <w:br/>
      </w:r>
      <w:hyperlink r:id="rId5" w:history="1">
        <w:r w:rsidRPr="00E63698">
          <w:rPr>
            <w:rStyle w:val="Hyperlink"/>
          </w:rPr>
          <w:t>http://www.cdc.gov/injury/wisqars/fatal.html</w:t>
        </w:r>
      </w:hyperlink>
    </w:p>
  </w:footnote>
  <w:footnote w:id="6">
    <w:p w:rsidR="00AD504E" w:rsidRDefault="00AD504E">
      <w:pPr>
        <w:pStyle w:val="FootnoteText"/>
      </w:pPr>
      <w:r>
        <w:rPr>
          <w:rStyle w:val="FootnoteReference"/>
        </w:rPr>
        <w:footnoteRef/>
      </w:r>
      <w:r>
        <w:t xml:space="preserve"> </w:t>
      </w:r>
      <w:r w:rsidRPr="00AD504E">
        <w:t>Falade-Nwulia O, Suarez-Cuervo C, Nelson DR, Fried MW, Segal JB, Sulkowski MS. Oral Direct-Acting Agent Therapy for Hepatitis C Virus Infection: A Systematic Review</w:t>
      </w:r>
      <w:r w:rsidR="00293280">
        <w:t>. Ann Intern Med.</w:t>
      </w:r>
      <w:r w:rsidRPr="00AD504E">
        <w:t>166:637–648. doi: 10.7326/M16-2575</w:t>
      </w:r>
    </w:p>
  </w:footnote>
  <w:footnote w:id="7">
    <w:p w:rsidR="00293280" w:rsidRDefault="00293280">
      <w:pPr>
        <w:pStyle w:val="FootnoteText"/>
      </w:pPr>
      <w:r>
        <w:rPr>
          <w:rStyle w:val="FootnoteReference"/>
        </w:rPr>
        <w:footnoteRef/>
      </w:r>
      <w:r w:rsidR="00304973">
        <w:t xml:space="preserve"> National Tribal Budget Formulation Workgroup. Recommendations on the Indian Health Service Fiscal Year 2020 Budget. Retrieved from </w:t>
      </w:r>
      <w:hyperlink r:id="rId6" w:history="1">
        <w:r w:rsidR="00304973" w:rsidRPr="00932A10">
          <w:rPr>
            <w:rStyle w:val="Hyperlink"/>
            <w:rFonts w:cstheme="minorBidi"/>
          </w:rPr>
          <w:t>https://www.nihb.org/docs/03012018/TBFWG%20FY%202020%20Recommendations%20Brief.pdf</w:t>
        </w:r>
      </w:hyperlink>
      <w:r w:rsidR="00304973">
        <w:t xml:space="preserve"> </w:t>
      </w:r>
      <w:r>
        <w:t xml:space="preserve"> </w:t>
      </w:r>
    </w:p>
  </w:footnote>
  <w:footnote w:id="8">
    <w:p w:rsidR="00507B63" w:rsidRDefault="00507B63">
      <w:pPr>
        <w:pStyle w:val="FootnoteText"/>
      </w:pPr>
      <w:r>
        <w:rPr>
          <w:rStyle w:val="FootnoteReference"/>
        </w:rPr>
        <w:footnoteRef/>
      </w:r>
      <w:r>
        <w:t xml:space="preserve"> </w:t>
      </w:r>
      <w:r w:rsidRPr="00507B63">
        <w:t xml:space="preserve">Consolidated Appropriations Act, 2016, Pub. L. No. 114-113, 129 Stat. 2242. Retrieved from </w:t>
      </w:r>
      <w:hyperlink r:id="rId7" w:history="1">
        <w:r w:rsidRPr="00507B63">
          <w:rPr>
            <w:rStyle w:val="Hyperlink"/>
            <w:rFonts w:cstheme="minorBidi"/>
          </w:rPr>
          <w:t>https://www.congress.gov/bill/114th-congress/house-bill/2029/text</w:t>
        </w:r>
      </w:hyperlink>
      <w:r w:rsidRPr="00507B63">
        <w:t xml:space="preserve"> </w:t>
      </w:r>
    </w:p>
  </w:footnote>
  <w:footnote w:id="9">
    <w:p w:rsidR="00507B63" w:rsidRPr="00507B63" w:rsidRDefault="00507B63">
      <w:pPr>
        <w:pStyle w:val="FootnoteText"/>
        <w:rPr>
          <w:b/>
          <w:bCs/>
        </w:rPr>
      </w:pPr>
      <w:r>
        <w:rPr>
          <w:rStyle w:val="FootnoteReference"/>
        </w:rPr>
        <w:footnoteRef/>
      </w:r>
      <w:r>
        <w:t xml:space="preserve"> U.S. Census Bureau. 2017. </w:t>
      </w:r>
      <w:r w:rsidRPr="00507B63">
        <w:rPr>
          <w:bCs/>
        </w:rPr>
        <w:t>American Indian and Alaska Native Heritage Month: November 2017</w:t>
      </w:r>
      <w:r>
        <w:rPr>
          <w:bCs/>
        </w:rPr>
        <w:t xml:space="preserve">. Retrieved from </w:t>
      </w:r>
      <w:hyperlink r:id="rId8" w:history="1">
        <w:r w:rsidRPr="00932A10">
          <w:rPr>
            <w:rStyle w:val="Hyperlink"/>
            <w:rFonts w:cstheme="minorBidi"/>
            <w:bCs/>
          </w:rPr>
          <w:t>https://www.census.gov/newsroom/facts-for-features/2017/aian-month.html</w:t>
        </w:r>
      </w:hyperlink>
      <w:r>
        <w:rPr>
          <w:bCs/>
        </w:rPr>
        <w:t xml:space="preserve"> </w:t>
      </w:r>
    </w:p>
  </w:footnote>
  <w:footnote w:id="10">
    <w:p w:rsidR="00507B63" w:rsidRDefault="00507B63" w:rsidP="00507B63">
      <w:pPr>
        <w:pStyle w:val="FootnoteText"/>
      </w:pPr>
      <w:r>
        <w:rPr>
          <w:rStyle w:val="FootnoteReference"/>
        </w:rPr>
        <w:footnoteRef/>
      </w:r>
      <w:r>
        <w:t xml:space="preserve"> AASLD &amp; IDSA. 2018. </w:t>
      </w:r>
      <w:r w:rsidRPr="00917B12">
        <w:t>HCV Guidance: Recommendations for Testing, Managing, and Treating Hepatitis C</w:t>
      </w:r>
      <w:r>
        <w:t xml:space="preserve">. Retrieved from </w:t>
      </w:r>
      <w:hyperlink r:id="rId9" w:history="1">
        <w:r w:rsidRPr="00932A10">
          <w:rPr>
            <w:rStyle w:val="Hyperlink"/>
          </w:rPr>
          <w:t>https://www.hcvguidelines.org/sites/default/files/full-guidance-pdf/HCVGuidance_May_24_2018b.pdf</w:t>
        </w:r>
      </w:hyperlink>
      <w:r>
        <w:t xml:space="preserve"> </w:t>
      </w:r>
    </w:p>
  </w:footnote>
  <w:footnote w:id="11">
    <w:p w:rsidR="00B1508C" w:rsidRDefault="00B1508C">
      <w:pPr>
        <w:pStyle w:val="FootnoteText"/>
      </w:pPr>
      <w:r>
        <w:rPr>
          <w:rStyle w:val="FootnoteReference"/>
        </w:rPr>
        <w:footnoteRef/>
      </w:r>
      <w:r>
        <w:t xml:space="preserve"> </w:t>
      </w:r>
      <w:r w:rsidRPr="00B1508C">
        <w:t>Gowda, C., Lott, S., Grigorian, M., Carbonari, D., Saine, M., Trooskin, S., … Lo Re, V. (2018). Absolute Insurer Denial of Direct-Acting Antiviral Therapy for Hepatitis C: A National Specialty Pharmacy Cohort Study. </w:t>
      </w:r>
      <w:r w:rsidRPr="00B1508C">
        <w:rPr>
          <w:i/>
          <w:iCs/>
        </w:rPr>
        <w:t>Open Forum Infectious Diseases</w:t>
      </w:r>
      <w:r w:rsidRPr="00B1508C">
        <w:t>, </w:t>
      </w:r>
      <w:r w:rsidRPr="00B1508C">
        <w:rPr>
          <w:i/>
          <w:iCs/>
        </w:rPr>
        <w:t>5</w:t>
      </w:r>
      <w:r w:rsidRPr="00B1508C">
        <w:t>(6), ofy076. https://doi.org/10.1093/ofid/ofy076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421D5"/>
    <w:multiLevelType w:val="hybridMultilevel"/>
    <w:tmpl w:val="21C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1505B"/>
    <w:multiLevelType w:val="hybridMultilevel"/>
    <w:tmpl w:val="CE9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D5714"/>
    <w:multiLevelType w:val="hybridMultilevel"/>
    <w:tmpl w:val="AFB07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D949C9"/>
    <w:multiLevelType w:val="hybridMultilevel"/>
    <w:tmpl w:val="AF3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75"/>
    <w:rsid w:val="00031A41"/>
    <w:rsid w:val="00063823"/>
    <w:rsid w:val="0009162E"/>
    <w:rsid w:val="000A7B50"/>
    <w:rsid w:val="00161CB5"/>
    <w:rsid w:val="001E5412"/>
    <w:rsid w:val="00236868"/>
    <w:rsid w:val="00287075"/>
    <w:rsid w:val="00293280"/>
    <w:rsid w:val="002A5C70"/>
    <w:rsid w:val="002A6DA3"/>
    <w:rsid w:val="002C3CF0"/>
    <w:rsid w:val="002E0A6D"/>
    <w:rsid w:val="002F0ED6"/>
    <w:rsid w:val="00304973"/>
    <w:rsid w:val="00385E13"/>
    <w:rsid w:val="004B2CE1"/>
    <w:rsid w:val="005056E0"/>
    <w:rsid w:val="00507B63"/>
    <w:rsid w:val="005611C0"/>
    <w:rsid w:val="00583A1A"/>
    <w:rsid w:val="00592C95"/>
    <w:rsid w:val="005B43B8"/>
    <w:rsid w:val="006373C2"/>
    <w:rsid w:val="006C5A8E"/>
    <w:rsid w:val="006F01D7"/>
    <w:rsid w:val="00750F9F"/>
    <w:rsid w:val="007A5E36"/>
    <w:rsid w:val="008022CF"/>
    <w:rsid w:val="008023B0"/>
    <w:rsid w:val="00834B0B"/>
    <w:rsid w:val="008A6187"/>
    <w:rsid w:val="009723E9"/>
    <w:rsid w:val="00993A88"/>
    <w:rsid w:val="009B4FD8"/>
    <w:rsid w:val="00A136B9"/>
    <w:rsid w:val="00A7793D"/>
    <w:rsid w:val="00A8592F"/>
    <w:rsid w:val="00A91520"/>
    <w:rsid w:val="00AA7DDD"/>
    <w:rsid w:val="00AC0019"/>
    <w:rsid w:val="00AD1BA7"/>
    <w:rsid w:val="00AD504E"/>
    <w:rsid w:val="00B1508C"/>
    <w:rsid w:val="00BB4CF1"/>
    <w:rsid w:val="00C97958"/>
    <w:rsid w:val="00CA486F"/>
    <w:rsid w:val="00D076AA"/>
    <w:rsid w:val="00D47B0C"/>
    <w:rsid w:val="00D5235C"/>
    <w:rsid w:val="00D61930"/>
    <w:rsid w:val="00DC76B5"/>
    <w:rsid w:val="00EB73FF"/>
    <w:rsid w:val="00F121CA"/>
    <w:rsid w:val="00F74D3E"/>
    <w:rsid w:val="00F8602B"/>
    <w:rsid w:val="00FC0653"/>
    <w:rsid w:val="00F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E6A75D8-0611-43B5-89C9-3176E5EA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75"/>
  </w:style>
  <w:style w:type="paragraph" w:styleId="Heading2">
    <w:name w:val="heading 2"/>
    <w:basedOn w:val="Normal"/>
    <w:next w:val="Normal"/>
    <w:link w:val="Heading2Char"/>
    <w:uiPriority w:val="9"/>
    <w:semiHidden/>
    <w:unhideWhenUsed/>
    <w:qFormat/>
    <w:rsid w:val="00507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style>
  <w:style w:type="character" w:customStyle="1" w:styleId="apple-converted-space">
    <w:name w:val="apple-converted-space"/>
    <w:basedOn w:val="DefaultParagraphFont"/>
    <w:rsid w:val="004B2CE1"/>
  </w:style>
  <w:style w:type="paragraph" w:styleId="ListParagraph">
    <w:name w:val="List Paragraph"/>
    <w:basedOn w:val="Normal"/>
    <w:uiPriority w:val="34"/>
    <w:qFormat/>
    <w:rsid w:val="00031A41"/>
    <w:pPr>
      <w:ind w:left="720"/>
      <w:contextualSpacing/>
    </w:pPr>
  </w:style>
  <w:style w:type="character" w:styleId="Hyperlink">
    <w:name w:val="Hyperlink"/>
    <w:basedOn w:val="DefaultParagraphFont"/>
    <w:uiPriority w:val="99"/>
    <w:rsid w:val="00A136B9"/>
    <w:rPr>
      <w:rFonts w:cs="Times New Roman"/>
      <w:color w:val="0000FF"/>
      <w:u w:val="single"/>
    </w:rPr>
  </w:style>
  <w:style w:type="paragraph" w:styleId="FootnoteText">
    <w:name w:val="footnote text"/>
    <w:basedOn w:val="Normal"/>
    <w:link w:val="FootnoteTextChar"/>
    <w:uiPriority w:val="99"/>
    <w:semiHidden/>
    <w:unhideWhenUsed/>
    <w:rsid w:val="00583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A1A"/>
    <w:rPr>
      <w:sz w:val="20"/>
      <w:szCs w:val="20"/>
    </w:rPr>
  </w:style>
  <w:style w:type="character" w:styleId="FootnoteReference">
    <w:name w:val="footnote reference"/>
    <w:basedOn w:val="DefaultParagraphFont"/>
    <w:uiPriority w:val="99"/>
    <w:semiHidden/>
    <w:unhideWhenUsed/>
    <w:rsid w:val="00583A1A"/>
    <w:rPr>
      <w:vertAlign w:val="superscript"/>
    </w:rPr>
  </w:style>
  <w:style w:type="character" w:customStyle="1" w:styleId="Heading2Char">
    <w:name w:val="Heading 2 Char"/>
    <w:basedOn w:val="DefaultParagraphFont"/>
    <w:link w:val="Heading2"/>
    <w:uiPriority w:val="9"/>
    <w:semiHidden/>
    <w:rsid w:val="00507B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528">
      <w:bodyDiv w:val="1"/>
      <w:marLeft w:val="0"/>
      <w:marRight w:val="0"/>
      <w:marTop w:val="0"/>
      <w:marBottom w:val="0"/>
      <w:divBdr>
        <w:top w:val="none" w:sz="0" w:space="0" w:color="auto"/>
        <w:left w:val="none" w:sz="0" w:space="0" w:color="auto"/>
        <w:bottom w:val="none" w:sz="0" w:space="0" w:color="auto"/>
        <w:right w:val="none" w:sz="0" w:space="0" w:color="auto"/>
      </w:divBdr>
      <w:divsChild>
        <w:div w:id="740367621">
          <w:marLeft w:val="0"/>
          <w:marRight w:val="0"/>
          <w:marTop w:val="0"/>
          <w:marBottom w:val="0"/>
          <w:divBdr>
            <w:top w:val="none" w:sz="0" w:space="0" w:color="auto"/>
            <w:left w:val="none" w:sz="0" w:space="0" w:color="auto"/>
            <w:bottom w:val="none" w:sz="0" w:space="0" w:color="auto"/>
            <w:right w:val="none" w:sz="0" w:space="0" w:color="auto"/>
          </w:divBdr>
        </w:div>
        <w:div w:id="1694260392">
          <w:marLeft w:val="0"/>
          <w:marRight w:val="0"/>
          <w:marTop w:val="0"/>
          <w:marBottom w:val="0"/>
          <w:divBdr>
            <w:top w:val="none" w:sz="0" w:space="0" w:color="auto"/>
            <w:left w:val="none" w:sz="0" w:space="0" w:color="auto"/>
            <w:bottom w:val="none" w:sz="0" w:space="0" w:color="auto"/>
            <w:right w:val="none" w:sz="0" w:space="0" w:color="auto"/>
          </w:divBdr>
        </w:div>
        <w:div w:id="1331255285">
          <w:marLeft w:val="0"/>
          <w:marRight w:val="0"/>
          <w:marTop w:val="0"/>
          <w:marBottom w:val="0"/>
          <w:divBdr>
            <w:top w:val="none" w:sz="0" w:space="0" w:color="auto"/>
            <w:left w:val="none" w:sz="0" w:space="0" w:color="auto"/>
            <w:bottom w:val="none" w:sz="0" w:space="0" w:color="auto"/>
            <w:right w:val="none" w:sz="0" w:space="0" w:color="auto"/>
          </w:divBdr>
        </w:div>
        <w:div w:id="1971280521">
          <w:marLeft w:val="0"/>
          <w:marRight w:val="0"/>
          <w:marTop w:val="0"/>
          <w:marBottom w:val="0"/>
          <w:divBdr>
            <w:top w:val="none" w:sz="0" w:space="0" w:color="auto"/>
            <w:left w:val="none" w:sz="0" w:space="0" w:color="auto"/>
            <w:bottom w:val="none" w:sz="0" w:space="0" w:color="auto"/>
            <w:right w:val="none" w:sz="0" w:space="0" w:color="auto"/>
          </w:divBdr>
        </w:div>
        <w:div w:id="1691222652">
          <w:marLeft w:val="0"/>
          <w:marRight w:val="0"/>
          <w:marTop w:val="0"/>
          <w:marBottom w:val="0"/>
          <w:divBdr>
            <w:top w:val="none" w:sz="0" w:space="0" w:color="auto"/>
            <w:left w:val="none" w:sz="0" w:space="0" w:color="auto"/>
            <w:bottom w:val="none" w:sz="0" w:space="0" w:color="auto"/>
            <w:right w:val="none" w:sz="0" w:space="0" w:color="auto"/>
          </w:divBdr>
        </w:div>
        <w:div w:id="1280407857">
          <w:marLeft w:val="0"/>
          <w:marRight w:val="0"/>
          <w:marTop w:val="0"/>
          <w:marBottom w:val="0"/>
          <w:divBdr>
            <w:top w:val="none" w:sz="0" w:space="0" w:color="auto"/>
            <w:left w:val="none" w:sz="0" w:space="0" w:color="auto"/>
            <w:bottom w:val="none" w:sz="0" w:space="0" w:color="auto"/>
            <w:right w:val="none" w:sz="0" w:space="0" w:color="auto"/>
          </w:divBdr>
        </w:div>
      </w:divsChild>
    </w:div>
    <w:div w:id="187064227">
      <w:bodyDiv w:val="1"/>
      <w:marLeft w:val="0"/>
      <w:marRight w:val="0"/>
      <w:marTop w:val="0"/>
      <w:marBottom w:val="0"/>
      <w:divBdr>
        <w:top w:val="none" w:sz="0" w:space="0" w:color="auto"/>
        <w:left w:val="none" w:sz="0" w:space="0" w:color="auto"/>
        <w:bottom w:val="none" w:sz="0" w:space="0" w:color="auto"/>
        <w:right w:val="none" w:sz="0" w:space="0" w:color="auto"/>
      </w:divBdr>
      <w:divsChild>
        <w:div w:id="991131070">
          <w:marLeft w:val="0"/>
          <w:marRight w:val="0"/>
          <w:marTop w:val="0"/>
          <w:marBottom w:val="0"/>
          <w:divBdr>
            <w:top w:val="none" w:sz="0" w:space="0" w:color="auto"/>
            <w:left w:val="none" w:sz="0" w:space="0" w:color="auto"/>
            <w:bottom w:val="none" w:sz="0" w:space="0" w:color="auto"/>
            <w:right w:val="none" w:sz="0" w:space="0" w:color="auto"/>
          </w:divBdr>
        </w:div>
        <w:div w:id="873495090">
          <w:marLeft w:val="0"/>
          <w:marRight w:val="0"/>
          <w:marTop w:val="0"/>
          <w:marBottom w:val="0"/>
          <w:divBdr>
            <w:top w:val="none" w:sz="0" w:space="0" w:color="auto"/>
            <w:left w:val="none" w:sz="0" w:space="0" w:color="auto"/>
            <w:bottom w:val="none" w:sz="0" w:space="0" w:color="auto"/>
            <w:right w:val="none" w:sz="0" w:space="0" w:color="auto"/>
          </w:divBdr>
        </w:div>
      </w:divsChild>
    </w:div>
    <w:div w:id="855192284">
      <w:bodyDiv w:val="1"/>
      <w:marLeft w:val="0"/>
      <w:marRight w:val="0"/>
      <w:marTop w:val="0"/>
      <w:marBottom w:val="0"/>
      <w:divBdr>
        <w:top w:val="none" w:sz="0" w:space="0" w:color="auto"/>
        <w:left w:val="none" w:sz="0" w:space="0" w:color="auto"/>
        <w:bottom w:val="none" w:sz="0" w:space="0" w:color="auto"/>
        <w:right w:val="none" w:sz="0" w:space="0" w:color="auto"/>
      </w:divBdr>
    </w:div>
    <w:div w:id="12015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ensus.gov/newsroom/facts-for-features/2017/aian-month.html" TargetMode="External"/><Relationship Id="rId3" Type="http://schemas.openxmlformats.org/officeDocument/2006/relationships/hyperlink" Target="https://www.cdc.gov/hepatitis/statistics/2016surveillance/commentary.htm" TargetMode="External"/><Relationship Id="rId7" Type="http://schemas.openxmlformats.org/officeDocument/2006/relationships/hyperlink" Target="https://www.congress.gov/bill/114th-congress/house-bill/2029/text" TargetMode="External"/><Relationship Id="rId2" Type="http://schemas.openxmlformats.org/officeDocument/2006/relationships/hyperlink" Target="http://dx.doi.org/10.15585/mmwr.ss6619a1" TargetMode="External"/><Relationship Id="rId1" Type="http://schemas.openxmlformats.org/officeDocument/2006/relationships/hyperlink" Target="http://dx.doi.org/10.15585/mmwr.mm6712a1" TargetMode="External"/><Relationship Id="rId6" Type="http://schemas.openxmlformats.org/officeDocument/2006/relationships/hyperlink" Target="https://www.nihb.org/docs/03012018/TBFWG%20FY%202020%20Recommendations%20Brief.pdf" TargetMode="External"/><Relationship Id="rId5" Type="http://schemas.openxmlformats.org/officeDocument/2006/relationships/hyperlink" Target="http://www.cdc.gov/injury/wisqars/fatal.html" TargetMode="External"/><Relationship Id="rId4" Type="http://schemas.openxmlformats.org/officeDocument/2006/relationships/hyperlink" Target="http://www.cdc.gov/nchs/data/nvsr/nvsr65/nvsr65_04.pdf" TargetMode="External"/><Relationship Id="rId9" Type="http://schemas.openxmlformats.org/officeDocument/2006/relationships/hyperlink" Target="https://www.hcvguidelines.org/sites/default/files/full-guidance-pdf/HCVGuidance_May_24_201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7A45-7B03-449D-8B94-0F967CDB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Castagne</dc:creator>
  <cp:lastModifiedBy>Shervin Aazami</cp:lastModifiedBy>
  <cp:revision>2</cp:revision>
  <dcterms:created xsi:type="dcterms:W3CDTF">2019-01-18T21:56:00Z</dcterms:created>
  <dcterms:modified xsi:type="dcterms:W3CDTF">2019-01-18T21:56:00Z</dcterms:modified>
</cp:coreProperties>
</file>